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9" w:type="dxa"/>
        <w:tblInd w:w="-106" w:type="dxa"/>
        <w:tblLook w:val="00A0" w:firstRow="1" w:lastRow="0" w:firstColumn="1" w:lastColumn="0" w:noHBand="0" w:noVBand="0"/>
      </w:tblPr>
      <w:tblGrid>
        <w:gridCol w:w="1135"/>
        <w:gridCol w:w="1566"/>
        <w:gridCol w:w="4563"/>
        <w:gridCol w:w="1418"/>
        <w:gridCol w:w="1177"/>
      </w:tblGrid>
      <w:tr>
        <w:trPr>
          <w:trHeight w:val="415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ПОЯСНИТЕЛЬНАЯ ЗАПИСКА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 БАЛАНСУ УЧРЕЖДЕНИЯ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</w:tr>
      <w:tr>
        <w:trPr>
          <w:trHeight w:val="210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tabs>
                <w:tab w:val="left" w:pos="599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0503760</w:t>
            </w:r>
          </w:p>
        </w:tc>
      </w:tr>
      <w:tr>
        <w:trPr>
          <w:trHeight w:val="210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 1 января 2022 г.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01.01.2022</w:t>
            </w:r>
          </w:p>
        </w:tc>
      </w:tr>
      <w:tr>
        <w:trPr>
          <w:trHeight w:val="21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rPr>
          <w:trHeight w:val="48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Учреждение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эксплуатационное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ОКПО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Обособленное подразделение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Учредитель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Городской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округ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ЗАТО Северск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ОКАТО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69541000000</w:t>
            </w:r>
          </w:p>
        </w:tc>
      </w:tr>
      <w:tr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органа,</w:t>
            </w:r>
          </w:p>
        </w:tc>
        <w:tc>
          <w:tcPr>
            <w:tcW w:w="456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 УЖКХ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ТиС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осуществляющего</w:t>
            </w:r>
          </w:p>
        </w:tc>
        <w:tc>
          <w:tcPr>
            <w:tcW w:w="456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ОКПО</w:t>
            </w:r>
          </w:p>
        </w:tc>
        <w:tc>
          <w:tcPr>
            <w:tcW w:w="11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полномочия учредителя</w:t>
            </w:r>
          </w:p>
        </w:tc>
        <w:tc>
          <w:tcPr>
            <w:tcW w:w="456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Глава по БК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rPr>
          <w:trHeight w:val="285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Периодичность:  квартальная, годовая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rPr>
          <w:trHeight w:val="285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измерения:  руб. </w:t>
            </w: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Балансу по форме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0503730</w:t>
            </w:r>
          </w:p>
        </w:tc>
      </w:tr>
      <w:tr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ОКЕИ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a5"/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96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Организационная структура учреждения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 составлена в соответствии с Приказом Минфина РФ от 25 сентября 2011 г.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учреждений».</w:t>
      </w:r>
    </w:p>
    <w:p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Представленные показатели бухгалтерской отчетности сформированы согласно требованиям Федеральных государственных стандартов «Концептуальные основы бухгалтерского учета и отчетности организаций государственного сектора» (Приказ Минфина России от 31.12.2016 № 256н), «Представление бухгалтерской (финансовой) отчетности» (Приказ Минфина России от 31.12.16 № 260н) и других нормативных правовых актов, регулирующих ведение бухгалтерского учета и составление бухгалтерской (финансовой) отчетности.</w:t>
      </w:r>
    </w:p>
    <w:p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эксплуатационное </w:t>
      </w:r>
      <w:proofErr w:type="gramStart"/>
      <w:r>
        <w:rPr>
          <w:rFonts w:ascii="Times New Roman" w:hAnsi="Times New Roman" w:cs="Times New Roman"/>
          <w:sz w:val="24"/>
          <w:szCs w:val="24"/>
        </w:rPr>
        <w:t>учреждение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создано                          в соответствии с Гражданским кодексом Российской Федерации, Федеральным законом                                от 12.01.1996 № 7-ФЗ «О некоммерческих организациях» и постановлением Администрации ЗАТО Северск от 02.12.2013 г. № 3114.</w:t>
      </w:r>
    </w:p>
    <w:p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Официальное полное наименование Учреждения: муниципальное бюджетное эксплуатационное </w:t>
      </w:r>
      <w:proofErr w:type="gramStart"/>
      <w:r>
        <w:rPr>
          <w:rFonts w:ascii="Times New Roman" w:hAnsi="Times New Roman" w:cs="Times New Roman"/>
          <w:sz w:val="24"/>
          <w:szCs w:val="24"/>
        </w:rPr>
        <w:t>учреждение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Северск.</w:t>
      </w:r>
    </w:p>
    <w:p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Сокращенное наименование: МБЭУ.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Учредителем Учреждения и собственником муниципального имущества, закрепленного за Учреждением, является муниципальное образование «Городской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округ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Томской области».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городского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округа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Томской области функции и полномочия учредителя осуществляет Управление жилищно - коммунального хозяйства, транспорта и связи Администрации ЗАТО Северск.</w:t>
      </w:r>
    </w:p>
    <w:p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Полномочия собственника в отношении муниципального имущества, закрепленного                   за Учреждением, осуществляет Управление имущественных отношений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Северск. Учреждение является некоммерческой организацией.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нахождения Учреждения: Российская Федерация, Томская область, ЗАТО Северск, г. Северск, ул. Лесная, 6а, строение № 4.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Юридический адрес: 636070, Томская область, ЗАТО Северск, г. Северск, ул. Лесная, 6а.</w:t>
      </w:r>
    </w:p>
    <w:p>
      <w:pPr>
        <w:autoSpaceDE w:val="0"/>
        <w:autoSpaceDN w:val="0"/>
        <w:adjustRightInd w:val="0"/>
        <w:spacing w:after="100" w:afterAutospacing="1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Организационно-правовая форма: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бюджетное.</w:t>
      </w:r>
    </w:p>
    <w:p>
      <w:pPr>
        <w:autoSpaceDE w:val="0"/>
        <w:autoSpaceDN w:val="0"/>
        <w:adjustRightInd w:val="0"/>
        <w:spacing w:after="100" w:afterAutospacing="1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филиалов и представительств не имеет. Обособленных подразделений, наделенных полномочиями по ведению бухгалтерского учета нет.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Целями деятельности учреждения являются благоустройство и озеленение территории городского округа ЗАТО Северск, содержание и ремонт ливневой канализации, организация мест массового отдыха населения, осуществление деятельности в отношении автомобильных дорог местного значения в границах городского округа ЗАТО Северск с целью обеспечения безопасности дорожного движения, организация и оказание ритуальных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услуг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содержание мест захоронения.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в соответствии с основной целью осуществляет следующие виды деятельности:</w:t>
      </w:r>
    </w:p>
    <w:p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и осуществление мероприятий по благоустройству территории </w:t>
      </w:r>
      <w:r>
        <w:rPr>
          <w:rFonts w:ascii="Times New Roman" w:hAnsi="Times New Roman" w:cs="Times New Roman"/>
          <w:sz w:val="24"/>
          <w:szCs w:val="24"/>
        </w:rPr>
        <w:br/>
        <w:t>г. Северска, в том числе: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уборка территории г. Северска;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озеленение территории г. Северска;</w:t>
      </w:r>
    </w:p>
    <w:p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содержание малых архитектурных форм.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Организация и проведение мероприятий в сфере похоронного дела, в том числе: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содержание мест захоронения;</w:t>
      </w:r>
    </w:p>
    <w:p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погребение умерших в порядке и случаях, установленных законодательством.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Содержание и ремонт автомобильных дорог местного значения и искусственных сооружений в их составе, в том числе: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выполнение комплекса работ по содержанию автомобильных дорог местного значения;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выполнение комплекса работ по ремонту автомобильных дорог местного значения;</w:t>
      </w:r>
    </w:p>
    <w:p>
      <w:pPr>
        <w:autoSpaceDE w:val="0"/>
        <w:autoSpaceDN w:val="0"/>
        <w:adjustRightInd w:val="0"/>
        <w:spacing w:after="100" w:afterAutospacing="1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выполнение комплекса работ по содержанию и ремонту искусственных сооружений в составе автомобильных дорог местного значения.</w:t>
      </w:r>
    </w:p>
    <w:p>
      <w:pPr>
        <w:autoSpaceDE w:val="0"/>
        <w:autoSpaceDN w:val="0"/>
        <w:adjustRightInd w:val="0"/>
        <w:spacing w:after="100" w:afterAutospacing="1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 видом деятельности является деятельность по эксплуатации автомобильных дорог и автомагистралей (ОКВЭД 52.21.22)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выполняет муниципальное задание, которое формируется и утверждается Учредителем в соответствии с видами деятельности, отнесенными Уставом к основной деятельности.</w:t>
      </w:r>
    </w:p>
    <w:p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</w:pPr>
      <w:r>
        <w:t>Обработка учетной информации в 2021 году велась с применением программного продукта «</w:t>
      </w:r>
      <w:r>
        <w:rPr>
          <w:bCs/>
          <w:iCs/>
        </w:rPr>
        <w:t>1С: Предприятие 8.3</w:t>
      </w:r>
      <w:r>
        <w:t>» конфигурация: Бухгалтерия государственного учреждения.</w:t>
      </w:r>
    </w:p>
    <w:p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</w:pPr>
      <w:r>
        <w:t>Бюджетная, налоговая и финансовая отчетность сдается в электронном виде через системы электронного документооборота «Контур Экстерн» и «БАРС.</w:t>
      </w:r>
      <w:r>
        <w:rPr>
          <w:lang w:val="en-US"/>
        </w:rPr>
        <w:t>Web</w:t>
      </w:r>
      <w:r>
        <w:t>.Своды» с использованием электронной цифровой подписи.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Численность работников по штатному расписанию на 01.01.2021: 273 чел.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Фактическая численность работников на </w:t>
      </w:r>
      <w:r>
        <w:rPr>
          <w:rFonts w:ascii="Times New Roman" w:hAnsi="Times New Roman" w:cs="Times New Roman"/>
          <w:sz w:val="24"/>
          <w:szCs w:val="24"/>
          <w:highlight w:val="yellow"/>
        </w:rPr>
        <w:t>01.01.2021: 212 чел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Результаты деятельности учреждения.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результатах деятельности учреждения (ф. 0503762)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Исключена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7" w:history="1"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ом </w:t>
      </w:r>
      <w:r>
        <w:rPr>
          <w:rFonts w:ascii="Times New Roman" w:hAnsi="Times New Roman" w:cs="Times New Roman"/>
          <w:sz w:val="24"/>
          <w:szCs w:val="24"/>
        </w:rPr>
        <w:t>Минфина России от 16.10.2019 № 166н.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Данные по показателям результативности в натуральном выражении, а также сведения о ресурсах (численности работников, стоимости имущества, бюджетных расходах и т.д.), используемых для достижения показателей результативности деятельности учреждения, информация, оказавшая существенное влияние на результаты деятельности за отчетный период (сведения о повышении квалификации и переподготовке специалистов, обеспеченности учреждения основными средствами) отражена далее в тексте пояснительной записки и представлена в качестве приложения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отчетности учреждения.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основными средствами, в том числе особо ценным движимым имуществом, осуществляется за счет средств субсидии на иные цели, средств от приносящей доход деятельности, а также в рамках безвозмездной передачи имущества.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Техническое состояние основных средств Учреждения находится в удовлетворительном состоянии. Не пригодные к дальнейшей эксплуатации объекты основных средств своевременно списываются с баланса Учреждения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установленном законодательством, с учетом требования учредителя.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Учреждении своевременно проводятся диагностика, техническое обслуживание, ремонт основных средств.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Сохранность основных средств обеспечивается посредством их закрепления за материально-ответственными лицами и проведением инвентаризаций имущества.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Штатная численность Учреждения по состоянию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начало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конец отчетного периода составляла 273 человек.</w:t>
      </w:r>
    </w:p>
    <w:p>
      <w:pPr>
        <w:spacing w:before="120" w:after="1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отчетном периоде было организовано повышение квалификации </w:t>
      </w:r>
      <w:r>
        <w:rPr>
          <w:rFonts w:ascii="Times New Roman" w:hAnsi="Times New Roman" w:cs="Times New Roman"/>
          <w:sz w:val="24"/>
          <w:szCs w:val="24"/>
          <w:highlight w:val="yellow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работников по следующим программам:</w:t>
      </w:r>
    </w:p>
    <w:p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- Контрактная система в сфере закупок товаров, работ, услуг для обеспечения государственных и муниципальных нужд – 3 человека;</w:t>
      </w:r>
    </w:p>
    <w:p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- Охрана труда для руководителей и специалистов – 9 человека;</w:t>
      </w:r>
    </w:p>
    <w:p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- Повышение квалификации по нормам и правилам работы в электроустановках - потребителей электрической энергии – 1 человек;</w:t>
      </w:r>
    </w:p>
    <w:p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- Тракторист категории «Д» – 2 человек;</w:t>
      </w:r>
    </w:p>
    <w:p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- Главный бухгалтер организации бюджетной сферы – 1 человек;</w:t>
      </w:r>
    </w:p>
    <w:p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- Меры пожарной безопасности – 6 человек;</w:t>
      </w:r>
    </w:p>
    <w:p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- Устройство и безопасная эксплуатация тепловых энергоустановок и сетей – 1 человек;</w:t>
      </w:r>
    </w:p>
    <w:p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- Профессиональная переподготовка по профессии «Стропальщик» – 1 человек;</w:t>
      </w:r>
    </w:p>
    <w:p>
      <w:pPr>
        <w:spacing w:after="1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- Организация воинского учета и бронирования – 1 человек.</w:t>
      </w:r>
    </w:p>
    <w:p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расходы на организацию профессионального и дополнительного профессионального образования в 2021 году составили </w:t>
      </w:r>
      <w:r>
        <w:rPr>
          <w:rFonts w:ascii="Times New Roman" w:hAnsi="Times New Roman" w:cs="Times New Roman"/>
          <w:sz w:val="24"/>
          <w:szCs w:val="24"/>
          <w:highlight w:val="yellow"/>
        </w:rPr>
        <w:t>102 800,00 руб</w:t>
      </w:r>
      <w:r>
        <w:rPr>
          <w:rFonts w:ascii="Times New Roman" w:hAnsi="Times New Roman" w:cs="Times New Roman"/>
          <w:sz w:val="24"/>
          <w:szCs w:val="24"/>
        </w:rPr>
        <w:t xml:space="preserve">., в том числе средства местного бюджета </w:t>
      </w:r>
      <w:r>
        <w:rPr>
          <w:rFonts w:ascii="Times New Roman" w:hAnsi="Times New Roman" w:cs="Times New Roman"/>
          <w:sz w:val="24"/>
          <w:szCs w:val="24"/>
          <w:highlight w:val="yellow"/>
        </w:rPr>
        <w:t>59 700,00</w:t>
      </w:r>
      <w:r>
        <w:rPr>
          <w:rFonts w:ascii="Times New Roman" w:hAnsi="Times New Roman" w:cs="Times New Roman"/>
          <w:sz w:val="24"/>
          <w:szCs w:val="24"/>
        </w:rPr>
        <w:t xml:space="preserve"> руб., собственные </w:t>
      </w:r>
      <w:r>
        <w:rPr>
          <w:rFonts w:ascii="Times New Roman" w:hAnsi="Times New Roman" w:cs="Times New Roman"/>
          <w:sz w:val="24"/>
          <w:szCs w:val="24"/>
          <w:highlight w:val="yellow"/>
        </w:rPr>
        <w:t>средства 43 100,00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>
      <w:pPr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по приносящей доход деятельности.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в соответствии с Уставом вправе осуществлять следующие виды приносящей доход деятельности:</w:t>
      </w:r>
    </w:p>
    <w:p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территории и аналогичная деятельность;</w:t>
      </w:r>
    </w:p>
    <w:p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и ремонт автомобильных дорог общего пользования;</w:t>
      </w:r>
    </w:p>
    <w:p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услуг по содержанию сетей ливневой канализации, не являющихся муниципальной собственностью;</w:t>
      </w:r>
    </w:p>
    <w:p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 снега на снежный полигон;</w:t>
      </w:r>
    </w:p>
    <w:p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транспортные услуги;</w:t>
      </w:r>
    </w:p>
    <w:p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в аренду движимого и недвижимого имущества;</w:t>
      </w:r>
    </w:p>
    <w:p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ритуальные услуги и содержание мест захоронения.</w:t>
      </w:r>
    </w:p>
    <w:p>
      <w:pPr>
        <w:autoSpaceDE w:val="0"/>
        <w:autoSpaceDN w:val="0"/>
        <w:adjustRightInd w:val="0"/>
        <w:spacing w:before="100" w:beforeAutospacing="1"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Анализ отчета об исполнении учреждением плана его деятельности</w:t>
      </w:r>
    </w:p>
    <w:p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Источниками финансирования деятельности Учреждения являются: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финансовое обеспечение выполнения муниципального задания на оказание муниципальных услуг (выполнение работ);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поступления от платной и иной приносящей доход деятельности Учреждения;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целевая субсидия, предоставляемая в соответствии с абзацем вторым п. 1 ст. 78.1 БК РФ.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Порядок, условия предоставления Учреждению субсидии на выполнение задания, а также график перечисления данной субсидии определены соглашением от 11.01.2021 № 24 (далее - Соглашение). Согласно вышеуказанному Соглашению в отчетном периоде для финансового обеспечения выполнения задания Учреждению предусмотрена субсидия в размере </w:t>
      </w:r>
      <w:r>
        <w:rPr>
          <w:rFonts w:ascii="Times New Roman" w:hAnsi="Times New Roman" w:cs="Times New Roman"/>
          <w:b/>
          <w:sz w:val="24"/>
          <w:szCs w:val="24"/>
        </w:rPr>
        <w:t>180 519 140,00</w:t>
      </w:r>
      <w:r>
        <w:rPr>
          <w:rFonts w:ascii="Times New Roman" w:hAnsi="Times New Roman" w:cs="Times New Roman"/>
          <w:sz w:val="24"/>
          <w:szCs w:val="24"/>
        </w:rPr>
        <w:t xml:space="preserve"> руб. 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до Учреждения в отчетном периоде доведена в полном объеме в сумме – </w:t>
      </w:r>
      <w:r>
        <w:rPr>
          <w:rFonts w:ascii="Times New Roman" w:hAnsi="Times New Roman" w:cs="Times New Roman"/>
          <w:b/>
          <w:sz w:val="24"/>
          <w:szCs w:val="24"/>
        </w:rPr>
        <w:t>180 519 140,00</w:t>
      </w:r>
      <w:r>
        <w:rPr>
          <w:rFonts w:ascii="Times New Roman" w:hAnsi="Times New Roman" w:cs="Times New Roman"/>
          <w:sz w:val="24"/>
          <w:szCs w:val="24"/>
        </w:rPr>
        <w:t xml:space="preserve">рублей. 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финансово-хозяйственной деятельности на 2021 год утвержден УЖКХ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- 12.01.2021 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- 17.02.2021 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- 03.03.2021 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- 17.03.2021 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- 13.04.2021 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- 20.04.2021 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- 29.04.2021 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- 13.05.2021 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- 26.05.2021 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- 02.06.2021 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- 23.06.2021 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- 30.06.2021 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- 03.08.2021 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- 16.08.2021 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- 30.08.2021 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- 30.09.2021 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- 29.10.2021 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- 19.11.2021 </w:t>
      </w:r>
      <w:r>
        <w:rPr>
          <w:rFonts w:ascii="Times New Roman" w:hAnsi="Times New Roman" w:cs="Times New Roman"/>
          <w:sz w:val="24"/>
          <w:szCs w:val="24"/>
        </w:rPr>
        <w:t>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-16.12.2021 </w:t>
      </w:r>
      <w:r>
        <w:rPr>
          <w:rFonts w:ascii="Times New Roman" w:hAnsi="Times New Roman" w:cs="Times New Roman"/>
          <w:sz w:val="24"/>
          <w:szCs w:val="24"/>
        </w:rPr>
        <w:t>г.;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-29.12.2021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>,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опубликован на официальном сайте в сети Интернет www.bus.gov.ru, согласно пункту 4 Приказа от 21.07.2011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об исполнении плана ФХД за счет средств субсидии на выполнение задания приведен в форме 0503737 КФО 4. Утвержденные плановые назначения по расходам исполнены на </w:t>
      </w:r>
      <w:r>
        <w:rPr>
          <w:rFonts w:ascii="Times New Roman" w:hAnsi="Times New Roman" w:cs="Times New Roman"/>
          <w:sz w:val="24"/>
          <w:szCs w:val="24"/>
          <w:highlight w:val="yellow"/>
        </w:rPr>
        <w:t>99,5%.</w:t>
      </w:r>
      <w:r>
        <w:rPr>
          <w:rFonts w:ascii="Times New Roman" w:hAnsi="Times New Roman" w:cs="Times New Roman"/>
          <w:sz w:val="24"/>
          <w:szCs w:val="24"/>
        </w:rPr>
        <w:t xml:space="preserve"> Наибольший удельный вес занимают расходы на заработную плату и начисления на выплаты по оплате труда работников, их доля в общей сумме кассовых расходов составила 57,5%.</w:t>
      </w:r>
    </w:p>
    <w:p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графе 7 исполнено плановых назначений «через кассу учреждения» отражена сумма восстановленных кассовых расходов на </w:t>
      </w:r>
      <w:r>
        <w:rPr>
          <w:rFonts w:ascii="Times New Roman CYR" w:hAnsi="Times New Roman CYR" w:cs="Times New Roman CYR"/>
          <w:sz w:val="24"/>
          <w:szCs w:val="24"/>
        </w:rPr>
        <w:t xml:space="preserve">излишне выплаченную заработную плату в сумме </w:t>
      </w:r>
      <w:r>
        <w:rPr>
          <w:rFonts w:ascii="Times New Roman CYR" w:hAnsi="Times New Roman CYR" w:cs="Times New Roman CYR"/>
          <w:sz w:val="24"/>
          <w:szCs w:val="24"/>
          <w:highlight w:val="yellow"/>
        </w:rPr>
        <w:t>6 560,52</w:t>
      </w:r>
      <w:r>
        <w:rPr>
          <w:rFonts w:ascii="Times New Roman CYR" w:hAnsi="Times New Roman CYR" w:cs="Times New Roman CYR"/>
          <w:sz w:val="24"/>
          <w:szCs w:val="24"/>
        </w:rPr>
        <w:t xml:space="preserve"> руб. и пособие по уходу за ребенком до 3х лет в сумме </w:t>
      </w:r>
      <w:r>
        <w:rPr>
          <w:rFonts w:ascii="Times New Roman CYR" w:hAnsi="Times New Roman CYR" w:cs="Times New Roman CYR"/>
          <w:sz w:val="24"/>
          <w:szCs w:val="24"/>
          <w:highlight w:val="yellow"/>
        </w:rPr>
        <w:t>1 650,00</w:t>
      </w:r>
      <w:r>
        <w:rPr>
          <w:rFonts w:ascii="Times New Roman CYR" w:hAnsi="Times New Roman CYR" w:cs="Times New Roman CYR"/>
          <w:sz w:val="24"/>
          <w:szCs w:val="24"/>
        </w:rPr>
        <w:t xml:space="preserve"> рублей.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осуществляет приносящую доход деятельность, предусмотренную Уставом. Поступления от приносящей доход деятельности остаются в распоряжении Учреждения.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Анализ исполнения плана ФХД по средствам, полученным от приносящей доход деятельности, представлен в форме 0503737 КФО 2.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показатели поступлений от приносящей доход деятельности утверждены в размере 3 350 242,00 руб.</w:t>
      </w:r>
    </w:p>
    <w:p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Фактический объем полученных доходов от приносящей доход деятельности за отчетный период с учетом уплаты налогов (налога на прибыль) составил </w:t>
      </w:r>
      <w:r>
        <w:rPr>
          <w:rFonts w:ascii="Times New Roman" w:hAnsi="Times New Roman" w:cs="Times New Roman"/>
          <w:sz w:val="24"/>
          <w:szCs w:val="24"/>
          <w:highlight w:val="yellow"/>
        </w:rPr>
        <w:t>1 275 196,68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руб., что составило </w:t>
      </w:r>
      <w:r>
        <w:rPr>
          <w:rFonts w:ascii="Times New Roman" w:hAnsi="Times New Roman" w:cs="Times New Roman"/>
          <w:sz w:val="24"/>
          <w:szCs w:val="24"/>
          <w:highlight w:val="yellow"/>
        </w:rPr>
        <w:t>45,5%</w:t>
      </w:r>
      <w:r>
        <w:rPr>
          <w:rFonts w:ascii="Times New Roman" w:hAnsi="Times New Roman" w:cs="Times New Roman"/>
          <w:sz w:val="24"/>
          <w:szCs w:val="24"/>
        </w:rPr>
        <w:t xml:space="preserve"> от плановых показателей поступлений, в том числе в разрезе направлений деятельности:</w:t>
      </w:r>
    </w:p>
    <w:p>
      <w:pPr>
        <w:pStyle w:val="a5"/>
        <w:numPr>
          <w:ilvl w:val="0"/>
          <w:numId w:val="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642 294,00 руб. – аренда имущества;</w:t>
      </w:r>
    </w:p>
    <w:p>
      <w:pPr>
        <w:pStyle w:val="a5"/>
        <w:numPr>
          <w:ilvl w:val="0"/>
          <w:numId w:val="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34 930,00 руб. – оказание услуг по захоронению;</w:t>
      </w:r>
    </w:p>
    <w:p>
      <w:pPr>
        <w:pStyle w:val="a5"/>
        <w:numPr>
          <w:ilvl w:val="0"/>
          <w:numId w:val="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361 824,00 руб. – прием снега на снежный полигон;</w:t>
      </w:r>
    </w:p>
    <w:p>
      <w:pPr>
        <w:pStyle w:val="a5"/>
        <w:numPr>
          <w:ilvl w:val="0"/>
          <w:numId w:val="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103 378,50 руб. – доходы от сдачи металлолома;</w:t>
      </w:r>
    </w:p>
    <w:p>
      <w:pPr>
        <w:pStyle w:val="a5"/>
        <w:numPr>
          <w:ilvl w:val="0"/>
          <w:numId w:val="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167 931,56 руб. – услуги спецтехники;</w:t>
      </w:r>
    </w:p>
    <w:p>
      <w:pPr>
        <w:pStyle w:val="a5"/>
        <w:numPr>
          <w:ilvl w:val="0"/>
          <w:numId w:val="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193 418,62 руб. – иные поступления (внереализационные доходы);</w:t>
      </w:r>
    </w:p>
    <w:p>
      <w:pPr>
        <w:pStyle w:val="a5"/>
        <w:numPr>
          <w:ilvl w:val="0"/>
          <w:numId w:val="2"/>
        </w:numPr>
        <w:tabs>
          <w:tab w:val="left" w:pos="1276"/>
        </w:tabs>
        <w:spacing w:after="120" w:line="240" w:lineRule="auto"/>
        <w:ind w:left="1480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-228 580,00 руб. – налог на прибыль.</w:t>
      </w:r>
    </w:p>
    <w:p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Исполнение плановых назначений по приносящей доход деятельности в части расходов за отчетный период составило </w:t>
      </w:r>
      <w:r>
        <w:rPr>
          <w:rFonts w:ascii="Times New Roman" w:hAnsi="Times New Roman" w:cs="Times New Roman"/>
          <w:sz w:val="24"/>
          <w:szCs w:val="24"/>
          <w:highlight w:val="yellow"/>
        </w:rPr>
        <w:t>37,2%.</w:t>
      </w:r>
    </w:p>
    <w:p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об исполнении плана ФХД по средствам субсидии на иные цели представлен в форме 0503737 КФО 5.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В отчетном периоде согласно ниже перечисленным соглашениям Учреждению были предоставлены субсидии на иные цели (приобретение основных средств, приобретение прочих товаров, работ, услуг) в размере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6 981 090,00 руб. </w:t>
      </w:r>
      <w:bookmarkEnd w:id="0"/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субсидии на иные цели определены Соглашением: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15.05.2020 – 100 000,00 руб. – соглашение от 10.01.2020 № 23 на поставку мусорных урн;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15.02.2020 – 3 830 700,00 руб. – соглашение от 10.01.2020 № 24 (доп. соглашение № 01,02) на услуги специальной техники с машинистом для вывоза снега с улиц г. Северска;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15.08.2018 – 396 770,00,00 руб. – соглашение от 12.02.2020 № 42 на праздничное оформление города</w:t>
      </w:r>
      <w:proofErr w:type="gramStart"/>
      <w:r>
        <w:rPr>
          <w:rFonts w:ascii="Times New Roman" w:hAnsi="Times New Roman" w:cs="Times New Roman"/>
          <w:sz w:val="24"/>
          <w:szCs w:val="24"/>
        </w:rPr>
        <w:t>.;</w:t>
      </w:r>
      <w:proofErr w:type="gramEnd"/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 15.09.2020 – 195 080,00 руб. – соглашение от 18.08.2020 № 154 на ремонт хозяйственно-питьевого водопровода по адресу: г. Северск,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Атодорога</w:t>
      </w:r>
      <w:proofErr w:type="spellEnd"/>
      <w:r>
        <w:rPr>
          <w:rFonts w:ascii="Times New Roman" w:hAnsi="Times New Roman" w:cs="Times New Roman"/>
          <w:sz w:val="24"/>
          <w:szCs w:val="24"/>
        </w:rPr>
        <w:t>, 2/3.</w:t>
      </w:r>
    </w:p>
    <w:p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Анализ показателей отчетности учреждения</w:t>
      </w:r>
    </w:p>
    <w:p>
      <w:pPr>
        <w:autoSpaceDE w:val="0"/>
        <w:autoSpaceDN w:val="0"/>
        <w:adjustRightInd w:val="0"/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исполнении мероприятий в рамках субсидий на иные цели и бюджетных инвестиций представлены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форме 0503766. В </w:t>
      </w:r>
      <w:hyperlink r:id="rId8" w:history="1">
        <w:r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приведены данные об исполнении учреждением мероприятий, финансовое обеспечение которых осуществлялось за счет субсидий на иные цели.</w:t>
      </w:r>
    </w:p>
    <w:p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подробная информация по исполнению мероприятий представлена далее по тексту пояснительной записки.</w:t>
      </w:r>
    </w:p>
    <w:p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 отчетном периоде Учреждению запланированы субсидии на иные цели (приобретение основных средств, приобретение прочих товаров, работ, услуг) в размере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6 981 090,00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рублей.</w:t>
      </w:r>
    </w:p>
    <w:p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Учреждением заключены с УЖКХ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ТиС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Соглашения на предоставление субсидий в общей сумме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6 981 090,00,00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рублей.</w:t>
      </w:r>
    </w:p>
    <w:p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Сроки предоставлений субсидии на иные цели определены Соглашениями:</w:t>
      </w:r>
    </w:p>
    <w:p>
      <w:pPr>
        <w:autoSpaceDE w:val="0"/>
        <w:autoSpaceDN w:val="0"/>
        <w:adjustRightInd w:val="0"/>
        <w:spacing w:before="120" w:after="0" w:line="24" w:lineRule="atLeas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lastRenderedPageBreak/>
        <w:t>- до 15.08.2021 – 396 770,00 руб. – соглашение от 11.03.2021 № 74 на праздничное оформление города;</w:t>
      </w:r>
    </w:p>
    <w:p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 до 15.05.2021 – 5 013 470,00 руб. – соглашение от 10.03.2021 № 75 на приобретение снегопогрузчика лапового;</w:t>
      </w:r>
    </w:p>
    <w:p>
      <w:pPr>
        <w:autoSpaceDE w:val="0"/>
        <w:autoSpaceDN w:val="0"/>
        <w:adjustRightInd w:val="0"/>
        <w:spacing w:before="120" w:after="0" w:line="24" w:lineRule="atLeas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 до 15.05.2021 – 385 500,00 руб. – соглашение от 29.04.2021 № 87 на текущий ремонт  автомобиля КАМАЗ гос. № Е 213 РМ 70</w:t>
      </w:r>
    </w:p>
    <w:p>
      <w:pPr>
        <w:autoSpaceDE w:val="0"/>
        <w:autoSpaceDN w:val="0"/>
        <w:adjustRightInd w:val="0"/>
        <w:spacing w:before="120" w:after="0" w:line="24" w:lineRule="atLeas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 до 15.05.2021 – 594 950,00 руб. – соглашение от 29.04.2021 № 88 на приобретение бензомоторной техники;</w:t>
      </w:r>
    </w:p>
    <w:p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- до 20.05.2021 – 80 000,00 руб. – соглашение от 12.05.2021 № 93 на услуги автомобильной техники с экипажем; </w:t>
      </w:r>
    </w:p>
    <w:p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 до 20.05.2021 – 364 320,00 руб. – соглашение от 12.05.2021 № 94 на ремонт кабины автомобиля КАМАЗ гос. № Е 213 РМ 70;</w:t>
      </w:r>
    </w:p>
    <w:p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 до 15.09.2021 – 35 680,00 руб. – соглашение от 31.08.2021 № 148 на приобретение материалов для ремонта качелей на детской площадке по адресу пр. Коммунистический, 48;</w:t>
      </w:r>
    </w:p>
    <w:p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 до 30.09.2021 – 110 400,00 руб. – соглашение от 28.09.2021 № 163 на приобретение автошин на автогидроподъемник Чайка-сервис 2784</w:t>
      </w:r>
      <w:r>
        <w:rPr>
          <w:rFonts w:ascii="Times New Roman" w:hAnsi="Times New Roman" w:cs="Times New Roman"/>
          <w:color w:val="FF0000"/>
          <w:sz w:val="24"/>
          <w:szCs w:val="24"/>
          <w:lang w:val="en-US"/>
        </w:rPr>
        <w:t>SG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движении нефинансовых активов учреждения </w:t>
      </w:r>
      <w:hyperlink r:id="rId9" w:history="1">
        <w:r>
          <w:rPr>
            <w:rFonts w:ascii="Times New Roman" w:hAnsi="Times New Roman" w:cs="Times New Roman"/>
            <w:sz w:val="24"/>
            <w:szCs w:val="24"/>
          </w:rPr>
          <w:t>(ф. 0503768)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Эта </w:t>
      </w:r>
      <w:hyperlink r:id="rId10" w:history="1">
        <w:r>
          <w:rPr>
            <w:rFonts w:ascii="Times New Roman" w:hAnsi="Times New Roman" w:cs="Times New Roman"/>
            <w:sz w:val="24"/>
            <w:szCs w:val="24"/>
          </w:rPr>
          <w:t>форма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составлена отдельно по видам финансового обеспечения (деятельности): собственные доходы учреждения, субсидии на выполнение государственного (муниципального) задания, субсидии на иные цели и содержит обобщенные за отчетный период данные о движении нефинансовых активов учреждения.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отчетную дату в бухгалтерском учете Учреждения, в частности, учтены следующие показатели: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основные средства балансовой стоимостью – 511 304 102,84 руб., в том числе особо ценное движимое имущество балансовой стоимостью 272 478 959,08 руб.;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амортизация основных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вс</w:t>
      </w:r>
      <w:proofErr w:type="gramEnd"/>
      <w:r>
        <w:rPr>
          <w:rFonts w:ascii="Times New Roman" w:hAnsi="Times New Roman" w:cs="Times New Roman"/>
          <w:sz w:val="24"/>
          <w:szCs w:val="24"/>
        </w:rPr>
        <w:t>его – 306 213 493,61 руб., в том числе особо ценного движимого имущества – 155 781 240,07 руб.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материальных запасов на отчетную дату составили 15 857 758,72 руб., в том числе: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- 15 300,00 руб. – лекарственные препараты и медицинские материалы (аптечка автомобильная);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- 351 094,89 руб. – мягкий инвентарь;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- 3 273 233,98 руб. – ГСМ руб.;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- 3 423 231,19 руб. – стройматериалы;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8 794 898,66 руб. – прочие материальные запасы, в т. ч. 4 227 614,72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минеральный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посыпки дорожного полотна, 4 503 410,11 руб. – запасные части к автотранспорту, 63 873,83 руб.– хозяйственные материалы. 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остатка материальных запасов обусловлено необходимостью обеспечения бесперебойной работы Учреждения. Остаток ГСМ соответствует остатку топлива в баке служебного автотранспорта и в накопительной емкости автозаправки Учреждения на отчетную дату.</w:t>
      </w:r>
    </w:p>
    <w:p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по дебиторской и кредиторской задолженности учреждения представлены в </w:t>
      </w:r>
      <w:hyperlink r:id="rId11" w:history="1">
        <w:r>
          <w:rPr>
            <w:rFonts w:ascii="Times New Roman" w:hAnsi="Times New Roman" w:cs="Times New Roman"/>
            <w:sz w:val="24"/>
            <w:szCs w:val="24"/>
          </w:rPr>
          <w:t>ф. 0503769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Эта </w:t>
      </w:r>
      <w:hyperlink r:id="rId12" w:history="1">
        <w:r>
          <w:rPr>
            <w:rFonts w:ascii="Times New Roman" w:hAnsi="Times New Roman" w:cs="Times New Roman"/>
            <w:sz w:val="24"/>
            <w:szCs w:val="24"/>
          </w:rPr>
          <w:t>форма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составлена раздельно по видам финансового обеспечения (деятельности): 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приносящая доход деятельность (собственные доходы учреждения),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выполнение государственного (муниципального) задания,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иные цели, раздельно по дебиторской и кредиторской задолженности.</w:t>
      </w:r>
    </w:p>
    <w:p>
      <w:pPr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отчете «Сведения по дебиторской и кредиторской задолженности учреждения» </w:t>
      </w:r>
    </w:p>
    <w:p>
      <w:pPr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(ф. 0503769) – расшифровка «Субсидии 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госзадание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кредиторская» – показатели по счету 4.302.000 графы 5 не равны показателю графы 6, что допустимо в части операций по восстановлению кассовых расходов в сумме отклонений:</w:t>
      </w:r>
    </w:p>
    <w:p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52 445,51 руб. по счету 4.302.11 – восстановлены кассовые расходы на излишне выплаченную заработную плату;</w:t>
      </w:r>
    </w:p>
    <w:p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2 234,00 руб. по счету 4.302.26 – восстановлены кассовые расходы на возмещение работникам стоимости медосмотра;</w:t>
      </w:r>
    </w:p>
    <w:p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6 983,77 руб. по счету 4.302.27 – восстановлены кассовые расходы по излишне перечисленным денежным средствам на страхование ОСАГО;</w:t>
      </w:r>
    </w:p>
    <w:p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1 826,00 руб. по счету 4.302.34 – восстановлены кассовые расходы по платежному поручению (наименование владельца счета не совпадают с наименованием получателя);</w:t>
      </w:r>
    </w:p>
    <w:p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87,68 руб. по счету 4.302.66 – восстановлены кассовые расходы, излишне выплаченные на пособие по временной нетрудоспособности за счет средств работодателя;</w:t>
      </w:r>
    </w:p>
    <w:p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1 650,00 руб. по счету 4.302.66 – восстановлены кассовые расходы, излишне выплаченной компенсационной выплаты по уходу за ребенком до достижения им возраста 3 лет.</w:t>
      </w:r>
    </w:p>
    <w:p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Расшифровка «Субсидии 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госзадание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дебиторская»: показатели по счету 4.206.000 графы 7 не равны показателю графы 8, что допустимо в части операций по восстановлению кассовых расходов в сумме отклонений:</w:t>
      </w:r>
    </w:p>
    <w:p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11 271,24 руб. по счету 4.206.27 – восстановлены кассовые расходы на автострахование, согласно акту сверки;</w:t>
      </w:r>
    </w:p>
    <w:p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174 875,00 руб. по счету 4.206.34 – восстановлены кассовые расходы по платежному поручению (наименование владельца счета не совпадают с наименованием получателя);</w:t>
      </w:r>
    </w:p>
    <w:p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состоянию на 01.01.2021 г. дебиторская задолженность по приносящей доход деятельности составила по доходам в сумме 404 438,10 руб., в том числе: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42"/>
        <w:gridCol w:w="1579"/>
        <w:gridCol w:w="4526"/>
      </w:tblGrid>
      <w:tr>
        <w:tc>
          <w:tcPr>
            <w:tcW w:w="364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услуги</w:t>
            </w:r>
          </w:p>
        </w:tc>
        <w:tc>
          <w:tcPr>
            <w:tcW w:w="157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Сумма, руб.</w:t>
            </w:r>
          </w:p>
        </w:tc>
        <w:tc>
          <w:tcPr>
            <w:tcW w:w="452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контрагента</w:t>
            </w:r>
          </w:p>
        </w:tc>
      </w:tr>
      <w:tr>
        <w:tc>
          <w:tcPr>
            <w:tcW w:w="3642" w:type="dxa"/>
            <w:vMerge w:val="restart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Автотранспортные услуги (спецтехника)</w:t>
            </w:r>
          </w:p>
        </w:tc>
        <w:tc>
          <w:tcPr>
            <w:tcW w:w="157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5 070,00</w:t>
            </w:r>
          </w:p>
        </w:tc>
        <w:tc>
          <w:tcPr>
            <w:tcW w:w="452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МБУДО СДЮСШОР «Лидер»</w:t>
            </w:r>
          </w:p>
        </w:tc>
      </w:tr>
      <w:tr>
        <w:tc>
          <w:tcPr>
            <w:tcW w:w="3642" w:type="dxa"/>
            <w:vMerge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1 309,90</w:t>
            </w:r>
          </w:p>
        </w:tc>
        <w:tc>
          <w:tcPr>
            <w:tcW w:w="452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АО ГСАТП</w:t>
            </w:r>
          </w:p>
        </w:tc>
      </w:tr>
      <w:tr>
        <w:tc>
          <w:tcPr>
            <w:tcW w:w="3642" w:type="dxa"/>
            <w:vMerge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2 675,00</w:t>
            </w:r>
          </w:p>
        </w:tc>
        <w:tc>
          <w:tcPr>
            <w:tcW w:w="452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ОГБПОУ «СПК»</w:t>
            </w:r>
          </w:p>
        </w:tc>
      </w:tr>
      <w:tr>
        <w:tc>
          <w:tcPr>
            <w:tcW w:w="3642" w:type="dxa"/>
            <w:vMerge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- 5 619,00</w:t>
            </w:r>
          </w:p>
        </w:tc>
        <w:tc>
          <w:tcPr>
            <w:tcW w:w="452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АО «НЭПТ» (переплата)</w:t>
            </w:r>
          </w:p>
        </w:tc>
      </w:tr>
      <w:tr>
        <w:tc>
          <w:tcPr>
            <w:tcW w:w="3642" w:type="dxa"/>
            <w:vMerge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8 489,20</w:t>
            </w:r>
          </w:p>
        </w:tc>
        <w:tc>
          <w:tcPr>
            <w:tcW w:w="452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Томскдорстрой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>
        <w:tc>
          <w:tcPr>
            <w:tcW w:w="364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 по услуге:</w:t>
            </w:r>
          </w:p>
        </w:tc>
        <w:tc>
          <w:tcPr>
            <w:tcW w:w="157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</w:rPr>
              <w:t>11 925,1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fldChar w:fldCharType="end"/>
            </w:r>
          </w:p>
        </w:tc>
        <w:tc>
          <w:tcPr>
            <w:tcW w:w="452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>
        <w:tc>
          <w:tcPr>
            <w:tcW w:w="364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Аренда</w:t>
            </w:r>
          </w:p>
        </w:tc>
        <w:tc>
          <w:tcPr>
            <w:tcW w:w="157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392 513,00</w:t>
            </w:r>
          </w:p>
        </w:tc>
        <w:tc>
          <w:tcPr>
            <w:tcW w:w="452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Общество с ограниченной ответственностью «АБФ Система»</w:t>
            </w:r>
          </w:p>
        </w:tc>
      </w:tr>
      <w:tr>
        <w:tc>
          <w:tcPr>
            <w:tcW w:w="364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Всего:</w:t>
            </w:r>
          </w:p>
        </w:tc>
        <w:tc>
          <w:tcPr>
            <w:tcW w:w="157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404 438,10</w:t>
            </w:r>
          </w:p>
        </w:tc>
        <w:tc>
          <w:tcPr>
            <w:tcW w:w="452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>
      <w:pPr>
        <w:autoSpaceDE w:val="0"/>
        <w:autoSpaceDN w:val="0"/>
        <w:adjustRightInd w:val="0"/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Кредиторская задолженность</w:t>
      </w:r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приносящей доход деятельности отсутствует.</w:t>
      </w:r>
    </w:p>
    <w:p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Дебиторская задолженность по бюджетной деятельности составила в сумме 136 597,78 руб., в том числе: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52"/>
        <w:gridCol w:w="1559"/>
        <w:gridCol w:w="4536"/>
      </w:tblGrid>
      <w:tr>
        <w:tc>
          <w:tcPr>
            <w:tcW w:w="365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Балансовый счет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Сумма, руб.</w:t>
            </w: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контрагента</w:t>
            </w:r>
          </w:p>
        </w:tc>
      </w:tr>
      <w:tr>
        <w:tc>
          <w:tcPr>
            <w:tcW w:w="365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206.21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384,58</w:t>
            </w: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ОАО «Мобильные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ТелеСистемы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>
        <w:tc>
          <w:tcPr>
            <w:tcW w:w="365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206.23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133 796,00</w:t>
            </w: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ПАО «Томская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энергосбытовая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компания»</w:t>
            </w:r>
          </w:p>
        </w:tc>
      </w:tr>
      <w:tr>
        <w:tc>
          <w:tcPr>
            <w:tcW w:w="365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303.05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2 417,20</w:t>
            </w: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УФК по Томской области (Сибирское межрегиональное управление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Росприроднадзора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04651780790)</w:t>
            </w:r>
          </w:p>
        </w:tc>
      </w:tr>
      <w:tr>
        <w:tc>
          <w:tcPr>
            <w:tcW w:w="365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Итого по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. 206.00.000: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</w:rPr>
              <w:t>136 597,78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fldChar w:fldCharType="end"/>
            </w: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Кредиторская задолженность по бюджетной деятельности составила в сумме 1 971 687,62 руб., в том числе: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52"/>
        <w:gridCol w:w="1559"/>
        <w:gridCol w:w="4536"/>
      </w:tblGrid>
      <w:tr>
        <w:tc>
          <w:tcPr>
            <w:tcW w:w="365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302.21.000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967,13</w:t>
            </w: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Открытое акционерное общество «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Вымпел-Коммуникации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>
        <w:tc>
          <w:tcPr>
            <w:tcW w:w="365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Итого по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>. 302.20.000: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967,13</w:t>
            </w: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>
        <w:tc>
          <w:tcPr>
            <w:tcW w:w="365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303.02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255 159,32</w:t>
            </w: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Страховые взносы в ФСС</w:t>
            </w:r>
          </w:p>
        </w:tc>
      </w:tr>
      <w:tr>
        <w:tc>
          <w:tcPr>
            <w:tcW w:w="365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303.06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26 570,11</w:t>
            </w: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Взносы в ФСС РФ (НС и ПЗ)</w:t>
            </w:r>
          </w:p>
        </w:tc>
      </w:tr>
      <w:tr>
        <w:tc>
          <w:tcPr>
            <w:tcW w:w="365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303.07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483 955,71</w:t>
            </w: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Страховые взносы в ФФОМС</w:t>
            </w:r>
          </w:p>
        </w:tc>
      </w:tr>
      <w:tr>
        <w:tc>
          <w:tcPr>
            <w:tcW w:w="365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303.10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1 202 127,17</w:t>
            </w: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Взнос в ПФР на страховую часть пенсии</w:t>
            </w:r>
          </w:p>
        </w:tc>
      </w:tr>
      <w:tr>
        <w:tc>
          <w:tcPr>
            <w:tcW w:w="365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Итого по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. 303.00.000: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1 967 812,31</w:t>
            </w: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>
        <w:tc>
          <w:tcPr>
            <w:tcW w:w="365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304.02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2 908,18</w:t>
            </w: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депонированная заработная плата</w:t>
            </w:r>
          </w:p>
        </w:tc>
      </w:tr>
    </w:tbl>
    <w:p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Вся задолженность носит текущий характер. Просроченная дебиторская и (или) кредиторская задолженность по состоянию на отчетную дату в Учреждении отсутствует. Долгосрочной задолженности Учреждение также не имеет.</w:t>
      </w:r>
    </w:p>
    <w:p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о сокращении кредиторской и дебиторской задолженности в Учреждении находится под постоянным контролем. В отчетном периоде была проведена инвентаризация задолженности в разрезе заключенных договоров (контрактов) по каждому контрагенту.</w:t>
      </w:r>
    </w:p>
    <w:p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принятых и неисполненных обязательствах (ф. 0503775). В этой форме отражены принятые и неисполненные обязательства в 2020 году. 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об обязательствах Учреждения представлены в Отчете об обязательствах учреждения ф. 0503738. Эта форма составлена отдельно по видам финансового обеспечения (деятельности): собственные доходы учреждения, субсидии на выполнение государственного (муниципального) задания, субсидии на иные цели. В разделе 3 формы по виду финансового обеспечения «Субсидии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госзадание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» отражены обязательства финансовых годов, следующих за текущим (отчетным) финансовым годом, всего в сумме 8 902 861,81 руб., из них с применением конкурентных способов 6 094 814,26 руб.</w:t>
      </w:r>
    </w:p>
    <w:p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подробная информация по заключенным контрактам на 2020 год представлена ниже в таблице.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2943"/>
        <w:gridCol w:w="4993"/>
        <w:gridCol w:w="1670"/>
      </w:tblGrid>
      <w:tr>
        <w:tc>
          <w:tcPr>
            <w:tcW w:w="294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и дата контракта</w:t>
            </w:r>
          </w:p>
        </w:tc>
        <w:tc>
          <w:tcPr>
            <w:tcW w:w="499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контрагента</w:t>
            </w:r>
          </w:p>
        </w:tc>
        <w:tc>
          <w:tcPr>
            <w:tcW w:w="167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Сумма, руб.</w:t>
            </w:r>
          </w:p>
        </w:tc>
      </w:tr>
      <w:tr>
        <w:tc>
          <w:tcPr>
            <w:tcW w:w="294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0165300009020000563-501/20-22/21181-Д от 25.12.2020</w:t>
            </w:r>
          </w:p>
        </w:tc>
        <w:tc>
          <w:tcPr>
            <w:tcW w:w="499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</w:rPr>
              <w:t>Гринатом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70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125 755,20</w:t>
            </w:r>
          </w:p>
        </w:tc>
      </w:tr>
      <w:tr>
        <w:tc>
          <w:tcPr>
            <w:tcW w:w="294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0165300009020000550-484/20 от 15.12.2020</w:t>
            </w:r>
          </w:p>
        </w:tc>
        <w:tc>
          <w:tcPr>
            <w:tcW w:w="499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Северскэлектросвязь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70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65 712,00</w:t>
            </w:r>
          </w:p>
        </w:tc>
      </w:tr>
      <w:tr>
        <w:tc>
          <w:tcPr>
            <w:tcW w:w="294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11/14353-Д от 25.12.2020</w:t>
            </w:r>
          </w:p>
        </w:tc>
        <w:tc>
          <w:tcPr>
            <w:tcW w:w="499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СХК</w:t>
            </w:r>
          </w:p>
        </w:tc>
        <w:tc>
          <w:tcPr>
            <w:tcW w:w="1670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148 631,33</w:t>
            </w:r>
          </w:p>
        </w:tc>
      </w:tr>
      <w:tr>
        <w:tc>
          <w:tcPr>
            <w:tcW w:w="294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договор 08/507 от 25.12.2020</w:t>
            </w:r>
          </w:p>
        </w:tc>
        <w:tc>
          <w:tcPr>
            <w:tcW w:w="499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Водоканал северский</w:t>
            </w:r>
          </w:p>
        </w:tc>
        <w:tc>
          <w:tcPr>
            <w:tcW w:w="1670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158 245,67</w:t>
            </w:r>
          </w:p>
        </w:tc>
      </w:tr>
      <w:tr>
        <w:tc>
          <w:tcPr>
            <w:tcW w:w="294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0165300009020000517-477/20 от 14.12.2020</w:t>
            </w:r>
          </w:p>
        </w:tc>
        <w:tc>
          <w:tcPr>
            <w:tcW w:w="499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Эльянс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70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680425,44</w:t>
            </w:r>
          </w:p>
        </w:tc>
      </w:tr>
      <w:tr>
        <w:tc>
          <w:tcPr>
            <w:tcW w:w="294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0165300009020000519-482/20 от 15.12.2020</w:t>
            </w:r>
          </w:p>
        </w:tc>
        <w:tc>
          <w:tcPr>
            <w:tcW w:w="499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«Цербер»</w:t>
            </w:r>
          </w:p>
        </w:tc>
        <w:tc>
          <w:tcPr>
            <w:tcW w:w="1670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83246,98</w:t>
            </w:r>
          </w:p>
        </w:tc>
      </w:tr>
      <w:tr>
        <w:tc>
          <w:tcPr>
            <w:tcW w:w="294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0165300009020000526-483/20 от 15.12.2020</w:t>
            </w:r>
          </w:p>
        </w:tc>
        <w:tc>
          <w:tcPr>
            <w:tcW w:w="499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«Сокол»</w:t>
            </w:r>
          </w:p>
        </w:tc>
        <w:tc>
          <w:tcPr>
            <w:tcW w:w="1670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48059,04</w:t>
            </w:r>
          </w:p>
        </w:tc>
      </w:tr>
      <w:tr>
        <w:tc>
          <w:tcPr>
            <w:tcW w:w="294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0165300009020000557-493/20 от 21.12.2020</w:t>
            </w:r>
          </w:p>
        </w:tc>
        <w:tc>
          <w:tcPr>
            <w:tcW w:w="499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«Электросети»</w:t>
            </w:r>
          </w:p>
        </w:tc>
        <w:tc>
          <w:tcPr>
            <w:tcW w:w="1670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59209,44</w:t>
            </w:r>
          </w:p>
        </w:tc>
      </w:tr>
      <w:tr>
        <w:tc>
          <w:tcPr>
            <w:tcW w:w="294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Контракт 0165300009020000571-496/20 от 21.12.2020</w:t>
            </w:r>
          </w:p>
        </w:tc>
        <w:tc>
          <w:tcPr>
            <w:tcW w:w="499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«Спарта»</w:t>
            </w:r>
          </w:p>
        </w:tc>
        <w:tc>
          <w:tcPr>
            <w:tcW w:w="1670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36694,24</w:t>
            </w:r>
          </w:p>
        </w:tc>
      </w:tr>
      <w:tr>
        <w:tc>
          <w:tcPr>
            <w:tcW w:w="294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энергоснабжения 70081031000127 от 18.12.2020</w:t>
            </w:r>
          </w:p>
        </w:tc>
        <w:tc>
          <w:tcPr>
            <w:tcW w:w="499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АО «Томская </w:t>
            </w:r>
            <w:proofErr w:type="spellStart"/>
            <w:r>
              <w:rPr>
                <w:rFonts w:ascii="Times New Roman" w:hAnsi="Times New Roman" w:cs="Times New Roman"/>
              </w:rPr>
              <w:t>энергосбытовая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компания</w:t>
            </w:r>
          </w:p>
        </w:tc>
        <w:tc>
          <w:tcPr>
            <w:tcW w:w="1670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3 921 826,66</w:t>
            </w:r>
          </w:p>
        </w:tc>
      </w:tr>
      <w:tr>
        <w:tc>
          <w:tcPr>
            <w:tcW w:w="294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МК 0165300009020000518-478/20 от 14.12.2020</w:t>
            </w:r>
          </w:p>
        </w:tc>
        <w:tc>
          <w:tcPr>
            <w:tcW w:w="499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СанТехГарант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70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70560,00</w:t>
            </w:r>
          </w:p>
        </w:tc>
      </w:tr>
      <w:tr>
        <w:tc>
          <w:tcPr>
            <w:tcW w:w="294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016530000902000539-485/20 от 18.12.2020</w:t>
            </w:r>
          </w:p>
        </w:tc>
        <w:tc>
          <w:tcPr>
            <w:tcW w:w="499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Росич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70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696448,26</w:t>
            </w:r>
          </w:p>
        </w:tc>
      </w:tr>
      <w:tr>
        <w:tc>
          <w:tcPr>
            <w:tcW w:w="7936" w:type="dxa"/>
            <w:gridSpan w:val="2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=SUM(ABOVE)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6 094 814,26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>
      <w:pPr>
        <w:autoSpaceDE w:val="0"/>
        <w:autoSpaceDN w:val="0"/>
        <w:adjustRightInd w:val="0"/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отчетном периоде в Учреждении были сформированы резервы предстоящих расходов. По состоянию на отчетную дату остаток на счете 4.401.60.000 «Резервы предстоящих расходов» составил 2 730 791,07 руб., в том числе: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- 2 015 789,91 руб. – резерв на оплату отпусков 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за фактически отработанное время или компенсаций за неиспользованный отпуск;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- 610 381,16 руб. – резерв на страховые взносы;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- 104 620,00 руб. – резерв по обязательствам учреждения, возникающим по фактам хозяйственной деятельности (сделкам, операциям), по начислению которых существует на отчетную дату неопределенность по их размеру из-за отсутствия первичных учетных документов.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начисленных резервах отражена в стр. 860 Отчета об обязательствах учреждения (ф. 0503738).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отчетном периоде начислены денежные обязательства, оплата которых осуществится за счет средств субсидии на выполнение муниципального задания 2021 года: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- 1 967 812,31 руб.- страховые взносы на оплату труда за декабрь 2020 года.</w:t>
      </w:r>
    </w:p>
    <w:p>
      <w:pPr>
        <w:autoSpaceDE w:val="0"/>
        <w:autoSpaceDN w:val="0"/>
        <w:adjustRightInd w:val="0"/>
        <w:spacing w:before="100" w:beforeAutospacing="1"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Сведения о наличии имущества и обязательств 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забалансовых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счетах отражены в Справке в составе Баланса (ф. 0503730).</w:t>
      </w:r>
    </w:p>
    <w:p>
      <w:pPr>
        <w:autoSpaceDE w:val="0"/>
        <w:autoSpaceDN w:val="0"/>
        <w:adjustRightInd w:val="0"/>
        <w:spacing w:before="100" w:beforeAutospacing="1"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отчетном периоде Учреждением 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забалансовых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счетах, в частности, учтены:</w:t>
      </w:r>
    </w:p>
    <w:p>
      <w:pPr>
        <w:autoSpaceDE w:val="0"/>
        <w:autoSpaceDN w:val="0"/>
        <w:adjustRightInd w:val="0"/>
        <w:spacing w:before="100" w:beforeAutospacing="1"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счете 01 – имущество, полученное в пользование на общую сумму 29 121 473,33 руб. (стр. 010 Справки ф. 0503730), право оперативного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который Учреждением не оформлено (отсутствует государственная регистрация), в связи с отсутствием зарегистрированного права собственности;</w:t>
      </w:r>
    </w:p>
    <w:p>
      <w:pPr>
        <w:autoSpaceDE w:val="0"/>
        <w:autoSpaceDN w:val="0"/>
        <w:adjustRightInd w:val="0"/>
        <w:spacing w:before="100" w:beforeAutospacing="1"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на счете 02 числятся материальные ценности на общую сумму 6 019 995,91 руб. На данном счете учтена стоимость списанных с балансового учета основных средств, но неутилизированных по состоянию на отчетную дату, а так же имущество, не соответствующее критериям активов;</w:t>
      </w:r>
    </w:p>
    <w:p>
      <w:pPr>
        <w:autoSpaceDE w:val="0"/>
        <w:autoSpaceDN w:val="0"/>
        <w:adjustRightInd w:val="0"/>
        <w:spacing w:before="100" w:beforeAutospacing="1"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на счете 03 учтены бланки строгой отчетности, находящиеся в Учреждении и выдаваемые в рамках хозяйственной деятельности (талоны на прием и размещение снега и ледниково-снежных масс), на общую сумму 3 006,00 руб.;</w:t>
      </w:r>
    </w:p>
    <w:p>
      <w:pPr>
        <w:autoSpaceDE w:val="0"/>
        <w:autoSpaceDN w:val="0"/>
        <w:adjustRightInd w:val="0"/>
        <w:spacing w:before="100" w:beforeAutospacing="1"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счете 09 отражены запасные части к транспортным средствам, выданные взамен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изношенных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общую сумму 2 987 173,46 руб.;</w:t>
      </w:r>
    </w:p>
    <w:p>
      <w:pPr>
        <w:autoSpaceDE w:val="0"/>
        <w:autoSpaceDN w:val="0"/>
        <w:adjustRightInd w:val="0"/>
        <w:spacing w:before="100" w:beforeAutospacing="1"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на счете 21 учтены основные средства, списанные с баланса в эксплуатацию, стоимостью до 10 000, руб. на общую сумму 6 350 421,97 руб.;</w:t>
      </w:r>
    </w:p>
    <w:p>
      <w:pPr>
        <w:autoSpaceDE w:val="0"/>
        <w:autoSpaceDN w:val="0"/>
        <w:adjustRightInd w:val="0"/>
        <w:spacing w:before="100" w:beforeAutospacing="1"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на счете 25 учтено имущество, переданное в возмездное пользование (аренду) в сумме 17 410 497,18 руб. (контейнерные площадки, заглубленные контейнеры для сбора бытовых отходов);</w:t>
      </w:r>
    </w:p>
    <w:p>
      <w:pPr>
        <w:autoSpaceDE w:val="0"/>
        <w:autoSpaceDN w:val="0"/>
        <w:adjustRightInd w:val="0"/>
        <w:spacing w:before="100" w:beforeAutospacing="1"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на счете 27 отражены материальные ценности (спецодежда, средства индивидуальной защиты и иные нефинансовые активы), выданные в личное пользование работникам Учреждения на общую сумму 605 834,62 руб.;</w:t>
      </w:r>
    </w:p>
    <w:p>
      <w:pPr>
        <w:autoSpaceDE w:val="0"/>
        <w:autoSpaceDN w:val="0"/>
        <w:adjustRightInd w:val="0"/>
        <w:spacing w:before="100" w:beforeAutospacing="1"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состоянию на отчетную дату по строке 510 Баланса (ф. 0503730) отражены доходы будущих периодов в сумме 392 513,00 руб. В составе доходов будущих периодов учтены доходы от операционной аренды, ожидаемые к получению в следующих финансовых годах в соответствии с договором аренды.</w:t>
      </w:r>
    </w:p>
    <w:p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состоянию на отчетную дату по строке 160 Баланса (ф. 0503730) отражены расходы будущих периодов в сумме 203 857,03руб. К расходам будущих периодов отнесены расходы по страхованию гражданской ответственности.</w:t>
      </w:r>
    </w:p>
    <w:p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строке 200 Баланса (ф. 0503730) отражены остатки денежных средств Учреждения в общей сумме 1 089 527,41 руб., том числе:</w:t>
      </w:r>
    </w:p>
    <w:p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- 808 389,01 руб. – деятельность по государственному заданию;</w:t>
      </w:r>
    </w:p>
    <w:p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- 281 138,40 руб. – приносящая доход деятельность,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что соответствует данным указанным в Сведениях об остатках денежных средств учреждения (ф. 0503779).</w:t>
      </w:r>
    </w:p>
    <w:p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остатках денежных средств учреждения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</w:t>
      </w:r>
      <w:hyperlink r:id="rId13" w:history="1">
        <w:r>
          <w:rPr>
            <w:rFonts w:ascii="Times New Roman" w:hAnsi="Times New Roman" w:cs="Times New Roman"/>
            <w:sz w:val="24"/>
            <w:szCs w:val="24"/>
          </w:rPr>
          <w:t>050377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9). Эта </w:t>
      </w:r>
      <w:hyperlink r:id="rId14" w:history="1">
        <w:r>
          <w:rPr>
            <w:rFonts w:ascii="Times New Roman" w:hAnsi="Times New Roman" w:cs="Times New Roman"/>
            <w:sz w:val="24"/>
            <w:szCs w:val="24"/>
          </w:rPr>
          <w:t>форма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составлена по деятельности с целевыми средствами, деятельности по оказанию услуг (работ), по средствам во временном распоряжении, поступившим в качестве обеспечения исполнения государственных контрактов.</w:t>
      </w:r>
    </w:p>
    <w:p>
      <w:pPr>
        <w:widowControl w:val="0"/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денежных средств по деятельности по оказанию услуг (работ) по состоянию на 01.01.2020 г. составил в сумме </w:t>
      </w:r>
      <w:r>
        <w:rPr>
          <w:rFonts w:ascii="Times New Roman" w:hAnsi="Times New Roman" w:cs="Times New Roman"/>
          <w:b/>
          <w:sz w:val="24"/>
          <w:szCs w:val="24"/>
        </w:rPr>
        <w:t xml:space="preserve">808 389,01 </w:t>
      </w:r>
      <w:r>
        <w:rPr>
          <w:rFonts w:ascii="Times New Roman" w:hAnsi="Times New Roman" w:cs="Times New Roman"/>
          <w:sz w:val="24"/>
          <w:szCs w:val="24"/>
        </w:rPr>
        <w:t>руб., в том числе:</w:t>
      </w:r>
    </w:p>
    <w:p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- 11 147,14 руб. - остаток средств на оплату услуг связи за декабрь 2020 г., по которым счет представлен в январе 2020 г. (КОСГУ 221);</w:t>
      </w:r>
    </w:p>
    <w:p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- 4 513,50 – сумма экономии в связи с уменьшением расходов;</w:t>
      </w:r>
    </w:p>
    <w:p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- 400 601,49 руб. – остаток средств на оплату коммунальных платежей, по которым счет за декабрь 2020 г. представлен в январе 2020 г. (КОСГУ 223);</w:t>
      </w:r>
    </w:p>
    <w:p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- 5 305,95 руб. – неиспользованный остаток денежных средств (КОСГУ 225);</w:t>
      </w:r>
    </w:p>
    <w:p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- 361 232,87 руб.:</w:t>
      </w:r>
    </w:p>
    <w:p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4 977,00 руб. – неиспользованные средства на захоронение умерших, не имеющих родственников (КОСГУ 226);</w:t>
      </w:r>
    </w:p>
    <w:p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94 101,57 руб. - неиспользованные средства на изготовление паспортов выпусков сточных вод, в связи с корона-вирусной инфекцией. Работы будут выполнены в 2021 году;</w:t>
      </w:r>
    </w:p>
    <w:p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262 154,30 руб. – услуги по размещению ТКО – нет счета за декабрь 2020 г.</w:t>
      </w:r>
    </w:p>
    <w:p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- 17 188,99 руб. – возврат средств на лицевой счет (КОСГУ 227);</w:t>
      </w:r>
    </w:p>
    <w:p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- 2 550,00 руб. – сумма экономии в связи с уменьшением расходов (КОСГУ 266);</w:t>
      </w:r>
    </w:p>
    <w:p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- 2 263,01 руб. – остаток денежных средств после уплаты налогов (КОСГУ 290)</w:t>
      </w:r>
    </w:p>
    <w:p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- 48,61 руб. – остаток денежных средств (КОСГУ 343);</w:t>
      </w:r>
    </w:p>
    <w:p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- 1 000,96 руб. – остаток денежных средств (КОСГУ 344);</w:t>
      </w:r>
    </w:p>
    <w:p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- 160,30 руб. – остаток денежных средств (КОСГУ 345);</w:t>
      </w:r>
    </w:p>
    <w:p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- 2 376,19 руб. – остаток денежных средств (КОСГУ 346).</w:t>
      </w:r>
    </w:p>
    <w:p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Регистры бухгалтерского учета представлены в виде оборотно-сальдовых ведомостей по балансовым счетам и субсчетам в разрезе источников финансового обеспечения. В связи с </w:t>
      </w:r>
      <w:r>
        <w:rPr>
          <w:rFonts w:ascii="Times New Roman" w:hAnsi="Times New Roman" w:cs="Times New Roman"/>
          <w:sz w:val="24"/>
          <w:szCs w:val="24"/>
        </w:rPr>
        <w:lastRenderedPageBreak/>
        <w:t>большим количеством номенклатуры, оборотно-сальдовые ведомости по счетам 101, 104, 105 сформированы в общей балансовой стоимости без указания номенклатуры основных средств и материалов. По запросу может быть представлен электронный вариант регистров с указанием номенклатуры.</w:t>
      </w:r>
    </w:p>
    <w:p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Прочие вопросы деятельности учреждения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целях обеспечения ведения бухгалтерского учета, своевременного составления и представления бухгалтерской отчетности в соответствии с действующим законодательством Учреждение в отчетном периоде руководствовалось: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 </w:t>
      </w:r>
      <w:hyperlink r:id="rId15" w:history="1">
        <w:r>
          <w:rPr>
            <w:rFonts w:ascii="Times New Roman CYR" w:hAnsi="Times New Roman CYR" w:cs="Times New Roman"/>
            <w:sz w:val="24"/>
            <w:szCs w:val="24"/>
          </w:rPr>
          <w:t>Федеральным законом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от 06.12.2011 № 402-ФЗ «О бухгалтерском учете»;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 </w:t>
      </w:r>
      <w:hyperlink r:id="rId16" w:history="1">
        <w:r>
          <w:rPr>
            <w:rFonts w:ascii="Times New Roman CYR" w:hAnsi="Times New Roman CYR" w:cs="Times New Roman"/>
            <w:sz w:val="24"/>
            <w:szCs w:val="24"/>
          </w:rPr>
          <w:t>Инструкцией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учреждений, утверждённой </w:t>
      </w:r>
      <w:hyperlink r:id="rId17" w:history="1">
        <w:r>
          <w:rPr>
            <w:rFonts w:ascii="Times New Roman CYR" w:hAnsi="Times New Roman CYR" w:cs="Times New Roman"/>
            <w:sz w:val="24"/>
            <w:szCs w:val="24"/>
          </w:rPr>
          <w:t>приказом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Минфина России от 01.12.2010 № 157н;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 </w:t>
      </w:r>
      <w:hyperlink r:id="rId18" w:history="1">
        <w:r>
          <w:rPr>
            <w:rFonts w:ascii="Times New Roman CYR" w:hAnsi="Times New Roman CYR" w:cs="Times New Roman"/>
            <w:sz w:val="24"/>
            <w:szCs w:val="24"/>
          </w:rPr>
          <w:t>Инструкцией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по применению Плана счетов бухгалтерского учета бюджетных учреждений, утверждённой </w:t>
      </w:r>
      <w:hyperlink r:id="rId19" w:history="1">
        <w:r>
          <w:rPr>
            <w:rFonts w:ascii="Times New Roman CYR" w:hAnsi="Times New Roman CYR" w:cs="Times New Roman"/>
            <w:sz w:val="24"/>
            <w:szCs w:val="24"/>
          </w:rPr>
          <w:t>приказом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Минфина России от 16.12.2010 № 174н;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 </w:t>
      </w:r>
      <w:hyperlink r:id="rId20" w:history="1">
        <w:r>
          <w:rPr>
            <w:rFonts w:ascii="Times New Roman CYR" w:hAnsi="Times New Roman CYR" w:cs="Times New Roman"/>
            <w:sz w:val="24"/>
            <w:szCs w:val="24"/>
          </w:rPr>
          <w:t>Инструкцией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</w:t>
      </w:r>
      <w:hyperlink r:id="rId21" w:history="1">
        <w:r>
          <w:rPr>
            <w:rFonts w:ascii="Times New Roman CYR" w:hAnsi="Times New Roman CYR" w:cs="Times New Roman"/>
            <w:sz w:val="24"/>
            <w:szCs w:val="24"/>
          </w:rPr>
          <w:t>приказом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Минфина России от 25.03.2011 № 33н;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 Порядком применения классификации операций сектора государственного управления, утвержденным Приказом Минфина России от 29.11.2017 № 209н;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 Порядком формирования и применения кодов бюджетной классификации Российской Федерации, утвержденным Приказом Минфина России от 08.06.2018 № 132н;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Учетной политикой учреждения, утвержденной приказом от 29.12.2018 г. № 230;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другими нормативно-правовыми актами в области методологии ведения учета и составления отчетности бюджетных учреждений.</w:t>
      </w:r>
    </w:p>
    <w:p>
      <w:pPr>
        <w:widowControl w:val="0"/>
        <w:autoSpaceDE w:val="0"/>
        <w:autoSpaceDN w:val="0"/>
        <w:adjustRightInd w:val="0"/>
        <w:spacing w:before="120" w:after="12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autoSpaceDE w:val="0"/>
        <w:autoSpaceDN w:val="0"/>
        <w:adjustRightInd w:val="0"/>
        <w:spacing w:before="100" w:beforeAutospacing="1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>
          <w:rPr>
            <w:rFonts w:ascii="Times New Roman" w:hAnsi="Times New Roman" w:cs="Times New Roman"/>
            <w:sz w:val="24"/>
            <w:szCs w:val="24"/>
          </w:rPr>
          <w:t>Таблица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«Сведения об особенностях ведения учреждением бухгалтерского учета». В связи с отсутствием особенностей отражения в бухгалтерском учете учреждения операций с активами и обязательствами учреждения данная форма не заполнена и не представлена в составе пояснительной записки.</w:t>
      </w:r>
    </w:p>
    <w:p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Таблицы 5 и 7 согласно положениям п.9.1, 10.4 приложения № 1 к совместному письму Минфина России и Федерального казначейства от 31.12.2019 № 02-60-07/103995/07-04-05/02-291148 не заполнены и не представлены в составе пояснительной записки.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>
          <w:rPr>
            <w:rFonts w:ascii="Times New Roman" w:hAnsi="Times New Roman" w:cs="Times New Roman"/>
            <w:sz w:val="24"/>
            <w:szCs w:val="24"/>
          </w:rPr>
          <w:t>Таблица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6 «Сведения о проведении инвентаризаций». В этой </w:t>
      </w:r>
      <w:hyperlink r:id="rId24" w:history="1">
        <w:r>
          <w:rPr>
            <w:rFonts w:ascii="Times New Roman" w:hAnsi="Times New Roman" w:cs="Times New Roman"/>
            <w:sz w:val="24"/>
            <w:szCs w:val="24"/>
          </w:rPr>
          <w:t>таблице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приводится информация, характеризующая результаты проведенной в отчетном периоде инвентаризации имущества и обязательств учреждения в части, выявленных в ходе проведения инвентаризаций расхождений. </w:t>
      </w:r>
    </w:p>
    <w:p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 «Сведения о проведении инвентаризаций» не заполнена в связи с отсутствием расхождений по результатам инвентаризации.</w:t>
      </w:r>
    </w:p>
    <w:p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Учреждением в 2020 году в соответствии с приказом от 30.11.2020 № 103 перед составлением годовой бухгалтерской отчетности проведена инвентаризация материальных запасов и финансовых активов и обязательств. По результатам проверок составлено 22 акта: излишков и недостач не установлено.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составе отчетности за 2020 год в связи с отсутствием числовых показателей не представлены: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форма 0503761 «Сведения о количестве обособленных подразделений»;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форма 0503767 «Сведения о целевых иностранных кредитах»;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форма 0503771 «Сведения о финансовых вложениях учреждения»;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форма 0503772 «Сведения о суммах заимствований»;</w:t>
      </w:r>
    </w:p>
    <w:p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 форма 0503295 «Сведения об исполнении судебных решений по денежным обязательствам учреждения»;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Справка по консолидируемым расчетам учреждения (ф. 0503725)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-форма 0503773 «Сведения об изменении остатков валюты баланса учреждения».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средств субсидий, обеспечением сохранности имущества со стороны руководства Учреждения, материально - ответственных лиц, иных ответственных работников Учреждения ведется постоянно.</w:t>
      </w:r>
    </w:p>
    <w:sectPr>
      <w:pgSz w:w="11906" w:h="16838"/>
      <w:pgMar w:top="1134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235CD"/>
    <w:multiLevelType w:val="hybridMultilevel"/>
    <w:tmpl w:val="8E3E48E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3C461932"/>
    <w:multiLevelType w:val="hybridMultilevel"/>
    <w:tmpl w:val="92BE0FA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C5C466C"/>
    <w:multiLevelType w:val="hybridMultilevel"/>
    <w:tmpl w:val="862EF5F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53D85104"/>
    <w:multiLevelType w:val="hybridMultilevel"/>
    <w:tmpl w:val="B52E23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575D50A7"/>
    <w:multiLevelType w:val="hybridMultilevel"/>
    <w:tmpl w:val="9A6461B2"/>
    <w:lvl w:ilvl="0" w:tplc="DCBC93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BF178A4"/>
    <w:multiLevelType w:val="hybridMultilevel"/>
    <w:tmpl w:val="BAA248F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5E594501"/>
    <w:multiLevelType w:val="hybridMultilevel"/>
    <w:tmpl w:val="67626FBA"/>
    <w:lvl w:ilvl="0" w:tplc="7AACAB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table" w:styleId="a6">
    <w:name w:val="Table Grid"/>
    <w:basedOn w:val="a1"/>
    <w:lock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9">
    <w:name w:val="Normal (Web)"/>
    <w:basedOn w:val="a"/>
    <w:uiPriority w:val="99"/>
    <w:unhideWhenUsed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table" w:styleId="a6">
    <w:name w:val="Table Grid"/>
    <w:basedOn w:val="a1"/>
    <w:lock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9">
    <w:name w:val="Normal (Web)"/>
    <w:basedOn w:val="a"/>
    <w:uiPriority w:val="99"/>
    <w:unhideWhenUs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EA3A386505FE3BF0A0B662A8CFB8A3C62ABA83D1A08B51387BA9E9AD753941914B40A442F9E16BeDFEJ" TargetMode="External"/><Relationship Id="rId13" Type="http://schemas.openxmlformats.org/officeDocument/2006/relationships/hyperlink" Target="consultantplus://offline/ref=1E029EB198EF03969D4D0F2090BF4F31F3E78F3E16F4584DBFDDDD6E7A96A0C3E7ED3DED5485A1A3O6AEG" TargetMode="External"/><Relationship Id="rId18" Type="http://schemas.openxmlformats.org/officeDocument/2006/relationships/hyperlink" Target="http://internet.garant.ru/document?id=12081735&amp;sub=200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?id=12084447&amp;sub=0" TargetMode="External"/><Relationship Id="rId7" Type="http://schemas.openxmlformats.org/officeDocument/2006/relationships/hyperlink" Target="consultantplus://offline/ref=1370BCC16C99F0707706265624EDB42DF818D61F887D273EF9D68491FD7AFE8FBA07199A58B09900L4QCK" TargetMode="External"/><Relationship Id="rId12" Type="http://schemas.openxmlformats.org/officeDocument/2006/relationships/hyperlink" Target="consultantplus://offline/ref=3BA7B3D92CD503900219A7E1C0085D1C77205192FD1B75E9D5D9FBEBAF8001889A77D27E3A704137C7x9F" TargetMode="External"/><Relationship Id="rId17" Type="http://schemas.openxmlformats.org/officeDocument/2006/relationships/hyperlink" Target="http://internet.garant.ru/document?id=12080849&amp;sub=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?id=12080849&amp;sub=2000" TargetMode="External"/><Relationship Id="rId20" Type="http://schemas.openxmlformats.org/officeDocument/2006/relationships/hyperlink" Target="http://internet.garant.ru/document?id=12084447&amp;sub=1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BA7B3D92CD503900219A7E1C0085D1C77205192FD1B75E9D5D9FBEBAF8001889A77D27E3A704137C7x9F" TargetMode="External"/><Relationship Id="rId24" Type="http://schemas.openxmlformats.org/officeDocument/2006/relationships/hyperlink" Target="consultantplus://offline/ref=1039A5158D57BD845FC1D62ED1DB3991437CD0F4AFADD418CB8D2B5DFC4F5FC5867F33C0CBB1FAD4X4G0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nternet.garant.ru/document?id=70003036&amp;sub=0" TargetMode="External"/><Relationship Id="rId23" Type="http://schemas.openxmlformats.org/officeDocument/2006/relationships/hyperlink" Target="consultantplus://offline/ref=1039A5158D57BD845FC1D62ED1DB3991437CD0F4AFADD418CB8D2B5DFC4F5FC5867F33C0CBB1FAD4X4G0G" TargetMode="External"/><Relationship Id="rId10" Type="http://schemas.openxmlformats.org/officeDocument/2006/relationships/hyperlink" Target="consultantplus://offline/ref=13EF94D309656130FC974CA556A535092F3FB3C91E1AC221930F2509F742EB983D83C1EEEBAE6861Z9E0K" TargetMode="External"/><Relationship Id="rId19" Type="http://schemas.openxmlformats.org/officeDocument/2006/relationships/hyperlink" Target="http://internet.garant.ru/document?id=12081735&amp;sub=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3EF94D309656130FC974CA556A535092F3FB3C91E1AC221930F2509F742EB983D83C1EEEBAE6861Z9E0K" TargetMode="External"/><Relationship Id="rId14" Type="http://schemas.openxmlformats.org/officeDocument/2006/relationships/hyperlink" Target="consultantplus://offline/ref=3783A6E441E9837A2ADE60DC919E7A52A2D5069AAB52E5CB9AD9417D5574335A2F768CC71BEAD81EF8D0G" TargetMode="External"/><Relationship Id="rId22" Type="http://schemas.openxmlformats.org/officeDocument/2006/relationships/hyperlink" Target="consultantplus://offline/ref=1039A5158D57BD845FC1D62ED1DB3991437CD0F4AFADD418CB8D2B5DFC4F5FC5867F33C0CBB1FAD4X4G6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FD724-8738-4CAF-B0F1-EE1C48EE8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12</Pages>
  <Words>4784</Words>
  <Characters>27270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31991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1</cp:lastModifiedBy>
  <cp:revision>9</cp:revision>
  <cp:lastPrinted>2020-02-27T09:23:00Z</cp:lastPrinted>
  <dcterms:created xsi:type="dcterms:W3CDTF">2022-01-26T11:39:00Z</dcterms:created>
  <dcterms:modified xsi:type="dcterms:W3CDTF">2022-01-26T12:50:00Z</dcterms:modified>
</cp:coreProperties>
</file>